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宋体" w:hAnsi="宋体" w:cs="宋体"/>
                <w:color w:val="000000"/>
                <w:szCs w:val="21"/>
              </w:rPr>
            </w:pPr>
            <w:r>
              <w:rPr>
                <w:rFonts w:hint="eastAsia" w:hAnsi="宋体" w:cs="宋体"/>
                <w:color w:val="000000"/>
              </w:rPr>
              <w:t>一、工程概</w:t>
            </w:r>
            <w:r>
              <w:rPr>
                <w:rFonts w:hint="eastAsia" w:ascii="宋体" w:hAnsi="宋体" w:cs="宋体"/>
                <w:color w:val="000000"/>
                <w:szCs w:val="21"/>
              </w:rPr>
              <w:t>况</w:t>
            </w:r>
            <w:r>
              <w:rPr>
                <w:rFonts w:hint="eastAsia" w:ascii="宋体" w:hAnsi="宋体" w:cs="宋体"/>
                <w:color w:val="000000"/>
                <w:szCs w:val="21"/>
                <w:lang w:eastAsia="zh-CN"/>
              </w:rPr>
              <w:t>：</w:t>
            </w:r>
            <w:r>
              <w:rPr>
                <w:rFonts w:hint="eastAsia" w:ascii="宋体" w:hAnsi="宋体" w:cs="宋体"/>
                <w:color w:val="000000"/>
                <w:szCs w:val="21"/>
                <w:lang w:val="en-US" w:eastAsia="zh-CN"/>
              </w:rPr>
              <w:t>杭州电子科技大学2教、6教、8教、综合楼、学活中心外墙整修工程</w:t>
            </w:r>
            <w:r>
              <w:rPr>
                <w:rFonts w:hint="eastAsia" w:ascii="宋体" w:hAnsi="宋体" w:cs="宋体"/>
                <w:color w:val="auto"/>
                <w:highlight w:val="none"/>
                <w:lang w:eastAsia="zh-CN"/>
              </w:rPr>
              <w:t>，主要为外立面整修、栏杆油漆及整修更换、空调水集中排放、外墙及窗户清洗等</w:t>
            </w:r>
            <w:r>
              <w:rPr>
                <w:rFonts w:hint="eastAsia" w:ascii="宋体" w:hAnsi="宋体" w:cs="宋体"/>
                <w:color w:val="000000"/>
                <w:szCs w:val="21"/>
              </w:rPr>
              <w:t>。</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ascii="宋体" w:hAnsi="宋体" w:cs="宋体"/>
                <w:color w:val="000000"/>
                <w:szCs w:val="21"/>
              </w:rPr>
            </w:pPr>
            <w:r>
              <w:rPr>
                <w:rFonts w:hint="eastAsia" w:ascii="宋体" w:hAnsi="宋体" w:cs="宋体"/>
                <w:color w:val="000000"/>
                <w:szCs w:val="21"/>
              </w:rPr>
              <w:t>二、工程招标范围：根据业主提供的</w:t>
            </w:r>
            <w:r>
              <w:rPr>
                <w:rFonts w:hint="eastAsia" w:ascii="宋体" w:hAnsi="宋体" w:cs="宋体"/>
                <w:color w:val="000000"/>
                <w:szCs w:val="21"/>
                <w:lang w:eastAsia="zh-CN"/>
              </w:rPr>
              <w:t>相关资料</w:t>
            </w:r>
            <w:r>
              <w:rPr>
                <w:rFonts w:hint="eastAsia" w:ascii="宋体" w:hAnsi="宋体" w:cs="宋体"/>
                <w:color w:val="000000"/>
                <w:szCs w:val="21"/>
              </w:rPr>
              <w:t>确</w:t>
            </w:r>
            <w:r>
              <w:rPr>
                <w:rFonts w:hint="eastAsia" w:cs="宋体"/>
                <w:color w:val="000000"/>
              </w:rPr>
              <w:t>定的范围。</w:t>
            </w:r>
          </w:p>
          <w:p>
            <w:pPr>
              <w:keepNext w:val="0"/>
              <w:keepLines w:val="0"/>
              <w:pageBreakBefore w:val="0"/>
              <w:widowControl w:val="0"/>
              <w:kinsoku/>
              <w:wordWrap/>
              <w:overflowPunct/>
              <w:topLinePunct w:val="0"/>
              <w:autoSpaceDE w:val="0"/>
              <w:autoSpaceDN w:val="0"/>
              <w:bidi w:val="0"/>
              <w:adjustRightInd/>
              <w:snapToGrid/>
              <w:spacing w:line="360" w:lineRule="auto"/>
              <w:jc w:val="both"/>
              <w:textAlignment w:val="auto"/>
              <w:rPr>
                <w:rFonts w:hAnsi="宋体" w:cs="宋体"/>
                <w:color w:val="000000"/>
              </w:rPr>
            </w:pPr>
            <w:r>
              <w:rPr>
                <w:rFonts w:hint="eastAsia" w:hAnsi="宋体" w:cs="宋体"/>
                <w:color w:val="000000"/>
              </w:rPr>
              <w:t>三、编制依据：</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highlight w:val="none"/>
                <w:lang w:val="en-US" w:eastAsia="zh-CN"/>
              </w:rPr>
            </w:pP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.《通用安装工程工程量计算规范》（GB5085</w:t>
            </w: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—2013）；</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5</w:t>
            </w:r>
            <w:r>
              <w:rPr>
                <w:rFonts w:hint="eastAsia" w:ascii="宋体" w:hAnsi="宋体" w:cs="宋体"/>
                <w:color w:val="000000"/>
                <w:szCs w:val="21"/>
                <w:highlight w:val="none"/>
              </w:rPr>
              <w:t>．《关于印发建设工程工程量计算规范（2013）浙江省补充规定的通知》（浙建站计﹝2013﹞63号）；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6</w:t>
            </w:r>
            <w:r>
              <w:rPr>
                <w:rFonts w:hint="eastAsia" w:ascii="宋体" w:hAnsi="宋体" w:cs="宋体"/>
                <w:color w:val="000000"/>
                <w:szCs w:val="21"/>
                <w:highlight w:val="none"/>
              </w:rPr>
              <w:t>．《杭州市建设工程工程量清单计价实施细则（201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cs="宋体"/>
                <w:color w:val="000000"/>
                <w:szCs w:val="21"/>
                <w:highlight w:val="none"/>
              </w:rPr>
            </w:pPr>
            <w:r>
              <w:rPr>
                <w:rFonts w:hint="eastAsia" w:ascii="宋体" w:hAnsi="宋体" w:cs="宋体"/>
                <w:color w:val="000000"/>
                <w:szCs w:val="21"/>
                <w:highlight w:val="none"/>
                <w:lang w:val="en-US" w:eastAsia="zh-CN"/>
              </w:rPr>
              <w:t>7</w:t>
            </w:r>
            <w:r>
              <w:rPr>
                <w:rFonts w:hint="eastAsia" w:ascii="宋体" w:hAnsi="宋体" w:cs="宋体"/>
                <w:color w:val="000000"/>
                <w:szCs w:val="21"/>
                <w:highlight w:val="none"/>
              </w:rPr>
              <w:t>．《浙江省建设工程计价规则》（2018版）；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8.《关于增值税调整后我省建设工程计价依据增值税税率及有关计价调整的通知》（浙建建发[2019]92号 ）；</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9.《杭州市城乡建设委员会关于推进杭州市建筑施工领域安全生产责任保险工作的通知》（杭建工发[2021]384号）《关于明确杭州市建筑施工领域安全生产责任保险费用计取的通知》（杭建招标造价中心[2021]84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cs="宋体" w:asciiTheme="majorEastAsia" w:hAnsiTheme="majorEastAsia" w:eastAsiaTheme="majorEastAsia"/>
                <w:color w:val="000000"/>
                <w:szCs w:val="21"/>
                <w:highlight w:val="none"/>
                <w:lang w:val="en-US" w:eastAsia="zh-CN"/>
              </w:rPr>
            </w:pPr>
            <w:r>
              <w:rPr>
                <w:rFonts w:hint="eastAsia" w:cs="宋体" w:asciiTheme="majorEastAsia" w:hAnsiTheme="majorEastAsia" w:eastAsiaTheme="majorEastAsia"/>
                <w:color w:val="000000"/>
                <w:szCs w:val="21"/>
                <w:highlight w:val="none"/>
                <w:lang w:val="en-US" w:eastAsia="zh-CN"/>
              </w:rPr>
              <w:t>10.《省建设厅关于调整建筑工程安全文明施工费的通知》（浙建建发[2022]37号）；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cs="宋体" w:asciiTheme="majorEastAsia" w:hAnsiTheme="majorEastAsia" w:eastAsiaTheme="majorEastAsia"/>
                <w:color w:val="0000FF"/>
                <w:szCs w:val="21"/>
                <w:highlight w:val="none"/>
                <w:lang w:val="en-US" w:eastAsia="zh-CN"/>
              </w:rPr>
            </w:pPr>
            <w:r>
              <w:rPr>
                <w:rFonts w:hint="eastAsia" w:cs="宋体" w:asciiTheme="majorEastAsia" w:hAnsiTheme="majorEastAsia" w:eastAsiaTheme="majorEastAsia"/>
                <w:color w:val="000000"/>
                <w:szCs w:val="21"/>
                <w:highlight w:val="none"/>
                <w:lang w:val="en-US" w:eastAsia="zh-CN"/>
              </w:rPr>
              <w:t>11.关于贯彻《省建设厅关于调整建筑工程安全文明施工费的通知》的通知</w:t>
            </w:r>
            <w:r>
              <w:rPr>
                <w:rFonts w:hint="eastAsia" w:cs="宋体" w:asciiTheme="majorEastAsia" w:hAnsiTheme="majorEastAsia" w:eastAsiaTheme="majorEastAsia"/>
                <w:color w:val="0000FF"/>
                <w:szCs w:val="21"/>
                <w:highlight w:val="none"/>
                <w:lang w:val="en-US" w:eastAsia="zh-CN"/>
              </w:rPr>
              <w:t>（浙建建发[2022]37号）；</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12</w:t>
            </w:r>
            <w:r>
              <w:rPr>
                <w:rFonts w:hint="eastAsia" w:ascii="宋体" w:hAnsi="宋体" w:cs="宋体"/>
                <w:color w:val="000000"/>
                <w:szCs w:val="21"/>
                <w:highlight w:val="none"/>
              </w:rPr>
              <w:t>．省、市建设行政主管部门以及工程造价管理机构颁发的相关计价办法和计价规定；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13</w:t>
            </w:r>
            <w:r>
              <w:rPr>
                <w:rFonts w:hint="eastAsia" w:ascii="宋体" w:hAnsi="宋体" w:cs="宋体"/>
                <w:color w:val="000000"/>
                <w:szCs w:val="21"/>
                <w:highlight w:val="none"/>
              </w:rPr>
              <w:t>．其他与工程项目有关的规范、标准和技术资料；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ascii="宋体" w:hAnsi="宋体" w:cs="宋体"/>
                <w:color w:val="000000"/>
                <w:szCs w:val="21"/>
                <w:highlight w:val="none"/>
              </w:rPr>
            </w:pPr>
            <w:r>
              <w:rPr>
                <w:rFonts w:hint="eastAsia" w:ascii="宋体" w:hAnsi="宋体" w:cs="宋体"/>
                <w:color w:val="000000"/>
                <w:szCs w:val="21"/>
                <w:highlight w:val="none"/>
                <w:lang w:val="en-US" w:eastAsia="zh-CN"/>
              </w:rPr>
              <w:t>14</w:t>
            </w:r>
            <w:r>
              <w:rPr>
                <w:rFonts w:hint="eastAsia" w:ascii="宋体" w:hAnsi="宋体" w:cs="宋体"/>
                <w:color w:val="000000"/>
                <w:szCs w:val="21"/>
                <w:highlight w:val="none"/>
              </w:rPr>
              <w:t>．施工现场实际情况、工程特点、常规施工方案；</w:t>
            </w:r>
          </w:p>
          <w:p>
            <w:pPr>
              <w:pStyle w:val="3"/>
              <w:keepNext w:val="0"/>
              <w:keepLines w:val="0"/>
              <w:pageBreakBefore w:val="0"/>
              <w:widowControl w:val="0"/>
              <w:tabs>
                <w:tab w:val="left" w:pos="306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四、报价要求：</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1</w:t>
            </w:r>
            <w:r>
              <w:rPr>
                <w:rFonts w:hint="eastAsia" w:hAnsi="宋体" w:cs="宋体"/>
                <w:color w:val="000000"/>
                <w:lang w:val="en-US" w:eastAsia="zh-CN"/>
              </w:rPr>
              <w:t>.</w:t>
            </w:r>
            <w:r>
              <w:rPr>
                <w:rFonts w:hint="eastAsia" w:hAnsi="宋体" w:cs="宋体"/>
                <w:color w:val="000000"/>
              </w:rPr>
              <w:t>工程量清单应与投标人须知，通用合同条款、专用合同条款、技术标准和要求及图纸等文件结合起来查阅与理解，并根据现场实际情况综合考虑报价；</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rPr>
            </w:pPr>
            <w:r>
              <w:rPr>
                <w:rFonts w:hint="eastAsia" w:hAnsi="宋体" w:cs="宋体"/>
                <w:color w:val="000000"/>
              </w:rPr>
              <w:t>2</w:t>
            </w:r>
            <w:r>
              <w:rPr>
                <w:rFonts w:hint="eastAsia" w:hAnsi="宋体" w:cs="宋体"/>
                <w:color w:val="000000"/>
                <w:lang w:val="en-US" w:eastAsia="zh-CN"/>
              </w:rPr>
              <w:t>.</w:t>
            </w:r>
            <w:r>
              <w:rPr>
                <w:rFonts w:hint="eastAsia" w:hAnsi="宋体" w:cs="宋体"/>
                <w:color w:val="000000"/>
              </w:rPr>
              <w:t>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int="eastAsia" w:hAnsi="宋体" w:cs="宋体"/>
                <w:color w:val="000000"/>
              </w:rPr>
              <w:t>3</w:t>
            </w:r>
            <w:r>
              <w:rPr>
                <w:rFonts w:hint="eastAsia" w:hAnsi="宋体" w:cs="宋体"/>
                <w:color w:val="000000"/>
                <w:lang w:val="en-US" w:eastAsia="zh-CN"/>
              </w:rPr>
              <w:t>.</w:t>
            </w:r>
            <w:r>
              <w:rPr>
                <w:rFonts w:hint="eastAsia" w:hAnsi="宋体" w:cs="宋体"/>
                <w:color w:val="000000"/>
              </w:rPr>
              <w:t>工程量清单中本合同工程的每一个细目，都需填入单价；对于没有填入单价或总额价的细目，其费用应视为包括在工作量清单的其他单价或总额价中，承包人必须按监理工程师指令完</w:t>
            </w:r>
            <w:r>
              <w:rPr>
                <w:rFonts w:hint="eastAsia" w:hAnsi="宋体" w:cs="宋体"/>
                <w:color w:val="000000"/>
                <w:highlight w:val="none"/>
              </w:rPr>
              <w:t>成工程量清单中未填入单价或总额价的工程细目，但不能得到结算与支付；</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4</w:t>
            </w:r>
            <w:r>
              <w:rPr>
                <w:rFonts w:hint="eastAsia" w:hAnsi="宋体" w:cs="宋体"/>
                <w:color w:val="000000"/>
                <w:highlight w:val="none"/>
                <w:lang w:val="en-US" w:eastAsia="zh-CN"/>
              </w:rPr>
              <w:t>.</w:t>
            </w:r>
            <w:r>
              <w:rPr>
                <w:rFonts w:hint="eastAsia" w:hAnsi="宋体" w:cs="宋体"/>
                <w:color w:val="000000"/>
                <w:highlight w:val="none"/>
              </w:rPr>
              <w:t>安全文明施工基本费费率不得低于《浙江省建设工程计价规则》（2018版）规定的下限，按市区工程计取，其中疫情常态化防控及“智慧工地”费用计取按照：浙建建发[2022]37号文件</w:t>
            </w:r>
            <w:r>
              <w:rPr>
                <w:rFonts w:hint="eastAsia" w:hAnsi="宋体" w:cs="宋体"/>
                <w:color w:val="000000"/>
                <w:highlight w:val="none"/>
                <w:lang w:val="en-US" w:eastAsia="zh-CN"/>
              </w:rPr>
              <w:t>执行</w:t>
            </w:r>
            <w:r>
              <w:rPr>
                <w:rFonts w:hint="eastAsia" w:hAnsi="宋体" w:cs="宋体"/>
                <w:color w:val="000000"/>
                <w:highlight w:val="none"/>
              </w:rPr>
              <w:t>，包含在安全文明施工费内</w:t>
            </w:r>
            <w:r>
              <w:rPr>
                <w:rFonts w:hint="eastAsia" w:hAnsi="宋体" w:cs="宋体"/>
                <w:color w:val="000000"/>
                <w:highlight w:val="none"/>
                <w:lang w:eastAsia="zh-CN"/>
              </w:rPr>
              <w:t>，</w:t>
            </w:r>
            <w:r>
              <w:rPr>
                <w:rFonts w:hint="eastAsia" w:hAnsi="宋体" w:cs="宋体"/>
                <w:color w:val="000000"/>
                <w:highlight w:val="none"/>
              </w:rPr>
              <w:t>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5.91</w:t>
            </w:r>
            <w:r>
              <w:rPr>
                <w:rFonts w:hint="eastAsia" w:hAnsi="宋体" w:cs="宋体"/>
                <w:color w:val="000000"/>
                <w:highlight w:val="none"/>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5</w:t>
            </w:r>
            <w:r>
              <w:rPr>
                <w:rFonts w:hint="eastAsia" w:hAnsi="宋体" w:cs="宋体"/>
                <w:color w:val="000000"/>
                <w:highlight w:val="none"/>
                <w:lang w:val="en-US" w:eastAsia="zh-CN"/>
              </w:rPr>
              <w:t>.</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机械费”，最低费率为：8.38%；</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Ansi="宋体" w:cs="宋体"/>
                <w:color w:val="000000"/>
                <w:highlight w:val="none"/>
              </w:rPr>
            </w:pPr>
            <w:r>
              <w:rPr>
                <w:rFonts w:hAnsi="宋体" w:cs="宋体"/>
                <w:color w:val="000000"/>
                <w:highlight w:val="none"/>
              </w:rPr>
              <w:t>6</w:t>
            </w:r>
            <w:r>
              <w:rPr>
                <w:rFonts w:hint="eastAsia" w:hAnsi="宋体" w:cs="宋体"/>
                <w:color w:val="000000"/>
                <w:highlight w:val="none"/>
                <w:lang w:val="en-US" w:eastAsia="zh-CN"/>
              </w:rPr>
              <w:t>.</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其中安责险计取按照：杭建工发</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 xml:space="preserve"> 384号文件，杭建招标造价中心</w:t>
            </w:r>
            <w:r>
              <w:rPr>
                <w:rFonts w:hint="eastAsia" w:hAnsi="宋体" w:cs="宋体"/>
                <w:color w:val="000000"/>
                <w:highlight w:val="none"/>
                <w:lang w:val="en-US" w:eastAsia="zh-CN"/>
              </w:rPr>
              <w:t>[</w:t>
            </w:r>
            <w:r>
              <w:rPr>
                <w:rFonts w:hint="eastAsia" w:hAnsi="宋体" w:cs="宋体"/>
                <w:color w:val="000000"/>
                <w:highlight w:val="none"/>
              </w:rPr>
              <w:t>2021</w:t>
            </w:r>
            <w:r>
              <w:rPr>
                <w:rFonts w:hint="eastAsia" w:hAnsi="宋体" w:cs="宋体"/>
                <w:color w:val="000000"/>
                <w:highlight w:val="none"/>
                <w:lang w:val="en-US" w:eastAsia="zh-CN"/>
              </w:rPr>
              <w:t>]</w:t>
            </w:r>
            <w:r>
              <w:rPr>
                <w:rFonts w:hint="eastAsia" w:hAnsi="宋体" w:cs="宋体"/>
                <w:color w:val="000000"/>
                <w:highlight w:val="none"/>
              </w:rPr>
              <w:t>84号文件结合本项目实际情况，自行考虑，包含在企业管理费内。同时，投标人必须对企业管理费中所包含的</w:t>
            </w:r>
            <w:r>
              <w:rPr>
                <w:rFonts w:hint="eastAsia" w:hAnsi="宋体" w:cs="宋体"/>
                <w:color w:val="000000"/>
                <w:highlight w:val="none"/>
                <w:lang w:val="en-US" w:eastAsia="zh-CN"/>
              </w:rPr>
              <w:t>现场</w:t>
            </w:r>
            <w:r>
              <w:rPr>
                <w:rFonts w:hint="eastAsia" w:hAnsi="宋体" w:cs="宋体"/>
                <w:color w:val="000000"/>
                <w:highlight w:val="none"/>
              </w:rPr>
              <w:t>临时宿舍</w:t>
            </w:r>
            <w:r>
              <w:rPr>
                <w:rFonts w:hint="eastAsia" w:hAnsi="宋体" w:cs="宋体"/>
                <w:color w:val="000000"/>
                <w:highlight w:val="none"/>
                <w:lang w:val="en-US" w:eastAsia="zh-CN"/>
              </w:rPr>
              <w:t>空调设施、安全生产责任保险等</w:t>
            </w:r>
            <w:r>
              <w:rPr>
                <w:rFonts w:hint="eastAsia" w:hAnsi="宋体" w:cs="宋体"/>
                <w:color w:val="000000"/>
                <w:highlight w:val="none"/>
              </w:rPr>
              <w:t>费用，在相应的清单明细表中</w:t>
            </w:r>
            <w:r>
              <w:rPr>
                <w:rFonts w:hint="eastAsia" w:hAnsi="宋体" w:cs="宋体"/>
                <w:color w:val="000000"/>
                <w:highlight w:val="none"/>
                <w:lang w:val="en-US" w:eastAsia="zh-CN"/>
              </w:rPr>
              <w:t>(表2-5)</w:t>
            </w:r>
            <w:r>
              <w:rPr>
                <w:rFonts w:hint="eastAsia" w:hAnsi="宋体" w:cs="宋体"/>
                <w:color w:val="000000"/>
                <w:highlight w:val="none"/>
              </w:rPr>
              <w:t>进行单独费用报价分析。具体如下：</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cs="宋体"/>
                <w:color w:val="000000"/>
                <w:highlight w:val="none"/>
                <w:lang w:eastAsia="zh-CN"/>
              </w:rPr>
            </w:pPr>
            <w:r>
              <w:rPr>
                <w:rFonts w:hint="eastAsia" w:hAnsi="宋体" w:cs="宋体"/>
                <w:color w:val="000000"/>
                <w:highlight w:val="none"/>
              </w:rPr>
              <w:t>装饰工程：取费基数为“人工费</w:t>
            </w:r>
            <w:r>
              <w:rPr>
                <w:rFonts w:hAnsi="宋体" w:cs="宋体"/>
                <w:color w:val="000000"/>
                <w:highlight w:val="none"/>
              </w:rPr>
              <w:t>+</w:t>
            </w:r>
            <w:r>
              <w:rPr>
                <w:rFonts w:hint="eastAsia" w:hAnsi="宋体" w:cs="宋体"/>
                <w:color w:val="000000"/>
                <w:highlight w:val="none"/>
              </w:rPr>
              <w:t>机械费”，最低费率为：2.28%</w:t>
            </w:r>
            <w:r>
              <w:rPr>
                <w:rFonts w:hint="eastAsia" w:hAnsi="宋体" w:cs="宋体"/>
                <w:color w:val="000000"/>
                <w:highlight w:val="none"/>
                <w:lang w:eastAsia="zh-CN"/>
              </w:rPr>
              <w:t>；</w:t>
            </w:r>
          </w:p>
          <w:p>
            <w:pPr>
              <w:pStyle w:val="3"/>
              <w:keepNext w:val="0"/>
              <w:keepLines w:val="0"/>
              <w:pageBreakBefore w:val="0"/>
              <w:widowControl w:val="0"/>
              <w:tabs>
                <w:tab w:val="left" w:pos="3330"/>
              </w:tabs>
              <w:kinsoku/>
              <w:wordWrap/>
              <w:overflowPunct/>
              <w:topLinePunct w:val="0"/>
              <w:bidi w:val="0"/>
              <w:adjustRightInd/>
              <w:snapToGrid/>
              <w:spacing w:line="360" w:lineRule="auto"/>
              <w:ind w:firstLine="420" w:firstLineChars="200"/>
              <w:jc w:val="both"/>
              <w:textAlignment w:val="auto"/>
              <w:rPr>
                <w:rFonts w:hint="eastAsia" w:hAnsi="宋体" w:eastAsia="宋体" w:cs="宋体"/>
                <w:color w:val="000000"/>
                <w:highlight w:val="none"/>
                <w:lang w:val="en-US" w:eastAsia="zh-CN"/>
              </w:rPr>
            </w:pPr>
            <w:r>
              <w:rPr>
                <w:rFonts w:hAnsi="宋体" w:cs="宋体"/>
                <w:color w:val="000000"/>
                <w:highlight w:val="none"/>
              </w:rPr>
              <w:t>7</w:t>
            </w:r>
            <w:r>
              <w:rPr>
                <w:rFonts w:hint="eastAsia" w:hAnsi="宋体" w:cs="宋体"/>
                <w:color w:val="000000"/>
                <w:highlight w:val="none"/>
                <w:lang w:val="en-US" w:eastAsia="zh-CN"/>
              </w:rPr>
              <w:t>.</w:t>
            </w:r>
            <w:r>
              <w:rPr>
                <w:rFonts w:hint="eastAsia" w:hAnsi="宋体" w:cs="宋体"/>
                <w:color w:val="000000"/>
                <w:highlight w:val="none"/>
              </w:rPr>
              <w:t>税金应根据《浙江省建设工程计价规则》（2018版）的规定及浙建建发[2019]92号的相关规定以（税前工程造价）为取费基数, 取费费率为：9%</w:t>
            </w:r>
            <w:r>
              <w:rPr>
                <w:rFonts w:hint="eastAsia" w:hAnsi="宋体" w:cs="宋体"/>
                <w:color w:val="000000"/>
                <w:highlight w:val="none"/>
                <w:lang w:eastAsia="zh-CN"/>
              </w:rPr>
              <w:t>。</w:t>
            </w:r>
          </w:p>
          <w:p>
            <w:pPr>
              <w:pStyle w:val="3"/>
              <w:keepNext w:val="0"/>
              <w:keepLines w:val="0"/>
              <w:pageBreakBefore w:val="0"/>
              <w:widowControl w:val="0"/>
              <w:kinsoku/>
              <w:wordWrap/>
              <w:overflowPunct/>
              <w:topLinePunct w:val="0"/>
              <w:bidi w:val="0"/>
              <w:adjustRightInd/>
              <w:snapToGrid/>
              <w:spacing w:line="360" w:lineRule="auto"/>
              <w:jc w:val="both"/>
              <w:textAlignment w:val="auto"/>
              <w:rPr>
                <w:rFonts w:hint="eastAsia" w:hAnsi="宋体" w:cs="宋体"/>
                <w:color w:val="000000"/>
                <w:highlight w:val="none"/>
              </w:rPr>
            </w:pPr>
            <w:r>
              <w:rPr>
                <w:rFonts w:hint="eastAsia" w:hAnsi="宋体" w:cs="宋体"/>
                <w:color w:val="000000"/>
                <w:highlight w:val="none"/>
              </w:rPr>
              <w:t>五、</w:t>
            </w:r>
            <w:r>
              <w:rPr>
                <w:rFonts w:hint="eastAsia" w:hAnsi="宋体" w:cs="宋体"/>
                <w:color w:val="000000"/>
                <w:highlight w:val="none"/>
                <w:lang w:val="en-US" w:eastAsia="zh-CN"/>
              </w:rPr>
              <w:t>编制说明</w:t>
            </w:r>
            <w:r>
              <w:rPr>
                <w:rFonts w:hint="eastAsia" w:hAnsi="宋体" w:cs="宋体"/>
                <w:color w:val="000000"/>
                <w:highlight w:val="none"/>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eastAsia="宋体" w:cs="宋体"/>
                <w:color w:val="auto"/>
                <w:kern w:val="24"/>
                <w:sz w:val="21"/>
                <w:szCs w:val="21"/>
              </w:rPr>
            </w:pPr>
            <w:r>
              <w:rPr>
                <w:rFonts w:hint="eastAsia" w:ascii="宋体" w:hAnsi="宋体" w:cs="宋体"/>
                <w:color w:val="auto"/>
                <w:kern w:val="24"/>
                <w:sz w:val="21"/>
                <w:szCs w:val="21"/>
                <w:lang w:val="en-US" w:eastAsia="zh-CN"/>
              </w:rPr>
              <w:t>1、施工过程中须严格按照甲方及现场实际需要做好安全、文明施工措施，确保施工安全，费用自行考虑</w:t>
            </w:r>
            <w:r>
              <w:rPr>
                <w:rFonts w:hint="eastAsia" w:ascii="宋体" w:hAnsi="宋体" w:eastAsia="宋体" w:cs="宋体"/>
                <w:color w:val="auto"/>
                <w:kern w:val="24"/>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right="0" w:rightChars="0" w:firstLine="420" w:firstLineChars="200"/>
              <w:jc w:val="both"/>
              <w:textAlignment w:val="auto"/>
              <w:rPr>
                <w:rFonts w:hint="eastAsia" w:ascii="宋体" w:hAnsi="宋体" w:cs="宋体"/>
                <w:color w:val="auto"/>
                <w:kern w:val="24"/>
                <w:sz w:val="21"/>
                <w:szCs w:val="21"/>
                <w:lang w:val="en-US" w:eastAsia="zh-CN"/>
              </w:rPr>
            </w:pPr>
            <w:r>
              <w:rPr>
                <w:rFonts w:hint="eastAsia" w:ascii="宋体" w:hAnsi="宋体" w:cs="宋体"/>
                <w:color w:val="auto"/>
                <w:kern w:val="24"/>
                <w:sz w:val="21"/>
                <w:szCs w:val="21"/>
                <w:lang w:val="en-US" w:eastAsia="zh-CN"/>
              </w:rPr>
              <w:t>2、外墙整修须按吊篮施工，费用自行考虑，不得采用无安全措施的施工方式。</w:t>
            </w:r>
          </w:p>
          <w:p>
            <w:pPr>
              <w:pStyle w:val="2"/>
              <w:rPr>
                <w:rFonts w:hint="default"/>
                <w:lang w:val="en-US"/>
              </w:rPr>
            </w:pPr>
            <w:r>
              <w:rPr>
                <w:rFonts w:hint="eastAsia" w:ascii="宋体" w:hAnsi="宋体" w:cs="宋体"/>
                <w:color w:val="auto"/>
                <w:kern w:val="24"/>
                <w:sz w:val="21"/>
                <w:szCs w:val="21"/>
                <w:lang w:val="en-US" w:eastAsia="zh-CN"/>
              </w:rPr>
              <w:t xml:space="preserve">  </w:t>
            </w:r>
            <w:r>
              <w:rPr>
                <w:rFonts w:hint="eastAsia" w:ascii="宋体" w:hAnsi="宋体" w:eastAsia="宋体" w:cs="宋体"/>
                <w:b w:val="0"/>
                <w:bCs w:val="0"/>
                <w:caps w:val="0"/>
                <w:color w:val="auto"/>
                <w:kern w:val="24"/>
                <w:sz w:val="21"/>
                <w:szCs w:val="21"/>
                <w:lang w:val="en-US" w:eastAsia="zh-CN" w:bidi="ar-SA"/>
              </w:rPr>
              <w:t xml:space="preserve">  3、</w:t>
            </w:r>
            <w:r>
              <w:rPr>
                <w:rFonts w:hint="eastAsia" w:ascii="宋体" w:hAnsi="宋体" w:cs="宋体"/>
                <w:b w:val="0"/>
                <w:bCs w:val="0"/>
                <w:caps w:val="0"/>
                <w:color w:val="auto"/>
                <w:kern w:val="24"/>
                <w:sz w:val="21"/>
                <w:szCs w:val="21"/>
                <w:lang w:val="en-US" w:eastAsia="zh-CN" w:bidi="ar-SA"/>
              </w:rPr>
              <w:t>外墙面砖须按原面砖规格颜色。</w:t>
            </w:r>
          </w:p>
          <w:p>
            <w:pPr>
              <w:keepNext w:val="0"/>
              <w:keepLines w:val="0"/>
              <w:pageBreakBefore w:val="0"/>
              <w:widowControl w:val="0"/>
              <w:kinsoku/>
              <w:wordWrap/>
              <w:overflowPunct/>
              <w:topLinePunct/>
              <w:autoSpaceDE/>
              <w:autoSpaceDN/>
              <w:bidi w:val="0"/>
              <w:adjustRightInd/>
              <w:snapToGrid/>
              <w:spacing w:line="360" w:lineRule="auto"/>
              <w:jc w:val="left"/>
              <w:textAlignment w:val="auto"/>
              <w:rPr>
                <w:rFonts w:hint="eastAsia" w:hAnsi="宋体" w:cs="宋体"/>
                <w:color w:val="000000"/>
                <w:lang w:val="en-US" w:eastAsia="zh-CN"/>
              </w:rPr>
            </w:pPr>
            <w:r>
              <w:rPr>
                <w:rFonts w:hint="eastAsia" w:hAnsi="宋体" w:cs="宋体"/>
                <w:color w:val="000000"/>
                <w:lang w:val="en-US" w:eastAsia="zh-CN"/>
              </w:rPr>
              <w:t>六</w:t>
            </w:r>
            <w:r>
              <w:rPr>
                <w:rFonts w:hint="eastAsia" w:hAnsi="宋体" w:cs="宋体"/>
                <w:color w:val="000000"/>
              </w:rPr>
              <w:t>、</w:t>
            </w:r>
            <w:r>
              <w:rPr>
                <w:rFonts w:hint="eastAsia" w:hAnsi="宋体" w:cs="宋体"/>
                <w:color w:val="000000"/>
                <w:lang w:val="en-US" w:eastAsia="zh-CN"/>
              </w:rPr>
              <w:t>其他说明：</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rPr>
              <w:t>2</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3.</w:t>
            </w:r>
            <w:r>
              <w:rPr>
                <w:rFonts w:hint="eastAsia" w:ascii="宋体" w:hAnsi="宋体" w:eastAsia="宋体" w:cs="宋体"/>
                <w:color w:val="000000"/>
                <w:szCs w:val="21"/>
              </w:rPr>
              <w:t>措施费中以“项”为单位措施项目均一次性包干，费用由各投标单位根据施工组织设计方案自行考虑报价，应考虑现场的各种风险因素；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4</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根据工程量清单报价原则“固定综合单价”，以“项”为单位的工程量清单项目综合单价为包干价，请投标单位根据项目实际情况合理报价</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5</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6</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分部分项工程量清单中的工程量是按实物净量计算，一切损耗均应在投标报价内；</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cs="宋体"/>
                <w:color w:val="000000"/>
                <w:szCs w:val="21"/>
                <w:lang w:val="en-US" w:eastAsia="zh-CN"/>
              </w:rPr>
              <w:t>7</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投标人应充分考虑周边建筑、道路和地下管线设施的保护费用，并考虑在总投标价中</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cs="宋体"/>
                <w:color w:val="000000"/>
                <w:szCs w:val="21"/>
                <w:lang w:val="en-US" w:eastAsia="zh-CN"/>
              </w:rPr>
              <w:t>8</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投标人应充分考虑脚手架等技术措施，相应费用计入技术措施费中，并充分考虑报价风险，今后结算不进行调整；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default" w:ascii="宋体" w:hAnsi="宋体" w:eastAsia="宋体" w:cs="宋体"/>
                <w:color w:val="000000"/>
                <w:szCs w:val="21"/>
                <w:lang w:val="en-US" w:eastAsia="zh-CN"/>
              </w:rPr>
            </w:pPr>
            <w:r>
              <w:rPr>
                <w:rFonts w:hint="eastAsia" w:ascii="宋体" w:hAnsi="宋体" w:cs="宋体"/>
                <w:color w:val="000000"/>
                <w:szCs w:val="21"/>
                <w:lang w:val="en-US" w:eastAsia="zh-CN"/>
              </w:rPr>
              <w:t>9</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各投标单位应根据现场实际情况自行考虑，包含施工范围内所有的原结构和建筑垃圾拆除及外运等,所有外运物弃置场地及运距由投标人自行综合考虑，相应费用均计入报价，今后不作调整</w:t>
            </w:r>
            <w:r>
              <w:rPr>
                <w:rFonts w:hint="eastAsia" w:ascii="宋体" w:hAnsi="宋体" w:eastAsia="宋体" w:cs="宋体"/>
                <w:color w:val="000000"/>
                <w:szCs w:val="21"/>
                <w:lang w:eastAsia="zh-CN"/>
              </w:rPr>
              <w:t>；</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0</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相关工艺施工前应做的基层清理工作应包含在投标报价中，清单特征描述中不再一一描述；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both"/>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1</w:t>
            </w:r>
            <w:r>
              <w:rPr>
                <w:rFonts w:hint="eastAsia" w:ascii="宋体" w:hAnsi="宋体" w:cs="宋体"/>
                <w:color w:val="000000"/>
                <w:szCs w:val="21"/>
                <w:lang w:val="en-US" w:eastAsia="zh-CN"/>
              </w:rPr>
              <w:t>1</w:t>
            </w:r>
            <w:r>
              <w:rPr>
                <w:rFonts w:hint="eastAsia" w:ascii="宋体" w:hAnsi="宋体" w:eastAsia="宋体" w:cs="宋体"/>
                <w:color w:val="000000"/>
                <w:szCs w:val="21"/>
                <w:lang w:val="en-US" w:eastAsia="zh-CN"/>
              </w:rPr>
              <w:t>.</w:t>
            </w:r>
            <w:r>
              <w:rPr>
                <w:rFonts w:hint="eastAsia" w:ascii="宋体" w:hAnsi="宋体" w:eastAsia="宋体" w:cs="宋体"/>
                <w:color w:val="000000"/>
                <w:szCs w:val="21"/>
              </w:rPr>
              <w:t>本清单项目特征描述不完整时，投标单位应结合施工图及相关规范、规定等进行综合考虑</w:t>
            </w:r>
            <w:r>
              <w:rPr>
                <w:rFonts w:hint="eastAsia" w:ascii="宋体" w:hAnsi="宋体" w:eastAsia="宋体" w:cs="宋体"/>
                <w:color w:val="000000"/>
                <w:szCs w:val="21"/>
                <w:lang w:eastAsia="zh-CN"/>
              </w:rPr>
              <w:t>；</w:t>
            </w:r>
          </w:p>
          <w:p>
            <w:pPr>
              <w:numPr>
                <w:ilvl w:val="0"/>
                <w:numId w:val="0"/>
              </w:numPr>
              <w:tabs>
                <w:tab w:val="left" w:pos="0"/>
              </w:tabs>
              <w:topLinePunct/>
              <w:spacing w:line="440" w:lineRule="exact"/>
              <w:jc w:val="left"/>
              <w:rPr>
                <w:rFonts w:hint="eastAsia" w:ascii="宋体" w:hAnsi="宋体" w:eastAsia="宋体" w:cs="宋体"/>
                <w:b/>
                <w:kern w:val="1"/>
                <w:sz w:val="24"/>
                <w:szCs w:val="24"/>
                <w:lang w:eastAsia="zh-CN"/>
              </w:rPr>
            </w:pPr>
            <w:r>
              <w:rPr>
                <w:rFonts w:hint="eastAsia" w:ascii="宋体" w:hAnsi="宋体" w:eastAsia="宋体" w:cs="宋体"/>
                <w:b/>
                <w:kern w:val="1"/>
                <w:sz w:val="24"/>
                <w:szCs w:val="24"/>
                <w:lang w:val="en-US" w:eastAsia="zh-CN"/>
              </w:rPr>
              <w:t>七、</w:t>
            </w:r>
            <w:r>
              <w:rPr>
                <w:rFonts w:hint="eastAsia" w:ascii="宋体" w:hAnsi="宋体" w:eastAsia="宋体" w:cs="宋体"/>
                <w:b/>
                <w:kern w:val="1"/>
                <w:sz w:val="24"/>
                <w:szCs w:val="24"/>
                <w:lang w:eastAsia="zh-CN"/>
              </w:rPr>
              <w:t>品牌推荐表：</w:t>
            </w:r>
          </w:p>
          <w:tbl>
            <w:tblPr>
              <w:tblStyle w:val="7"/>
              <w:tblW w:w="0" w:type="auto"/>
              <w:jc w:val="center"/>
              <w:tblLayout w:type="autofit"/>
              <w:tblCellMar>
                <w:top w:w="0" w:type="dxa"/>
                <w:left w:w="108" w:type="dxa"/>
                <w:bottom w:w="0" w:type="dxa"/>
                <w:right w:w="108" w:type="dxa"/>
              </w:tblCellMar>
            </w:tblPr>
            <w:tblGrid>
              <w:gridCol w:w="783"/>
              <w:gridCol w:w="1977"/>
              <w:gridCol w:w="2943"/>
              <w:gridCol w:w="1443"/>
              <w:gridCol w:w="1386"/>
            </w:tblGrid>
            <w:tr>
              <w:tblPrEx>
                <w:tblCellMar>
                  <w:top w:w="0" w:type="dxa"/>
                  <w:left w:w="108" w:type="dxa"/>
                  <w:bottom w:w="0" w:type="dxa"/>
                  <w:right w:w="108" w:type="dxa"/>
                </w:tblCellMar>
              </w:tblPrEx>
              <w:trPr>
                <w:trHeight w:val="345" w:hRule="atLeast"/>
                <w:jc w:val="center"/>
              </w:trPr>
              <w:tc>
                <w:tcPr>
                  <w:tcW w:w="78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序号</w:t>
                  </w:r>
                </w:p>
              </w:tc>
              <w:tc>
                <w:tcPr>
                  <w:tcW w:w="1977"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kern w:val="0"/>
                      <w:sz w:val="24"/>
                      <w:szCs w:val="24"/>
                    </w:rPr>
                    <w:t>材料名称</w:t>
                  </w:r>
                </w:p>
              </w:tc>
              <w:tc>
                <w:tcPr>
                  <w:tcW w:w="2943" w:type="dxa"/>
                  <w:tcBorders>
                    <w:top w:val="single" w:color="auto" w:sz="4" w:space="0"/>
                    <w:left w:val="nil"/>
                    <w:bottom w:val="single" w:color="auto" w:sz="4" w:space="0"/>
                    <w:right w:val="single" w:color="auto" w:sz="4" w:space="0"/>
                  </w:tcBorders>
                  <w:noWrap w:val="0"/>
                  <w:vAlign w:val="center"/>
                </w:tcPr>
                <w:p>
                  <w:pPr>
                    <w:widowControl/>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品牌或产地</w:t>
                  </w:r>
                </w:p>
              </w:tc>
              <w:tc>
                <w:tcPr>
                  <w:tcW w:w="1443"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等级</w:t>
                  </w:r>
                </w:p>
              </w:tc>
              <w:tc>
                <w:tcPr>
                  <w:tcW w:w="1386" w:type="dxa"/>
                  <w:tcBorders>
                    <w:top w:val="single" w:color="auto" w:sz="4" w:space="0"/>
                    <w:left w:val="nil"/>
                    <w:bottom w:val="single" w:color="auto" w:sz="4" w:space="0"/>
                    <w:right w:val="single" w:color="auto" w:sz="4" w:space="0"/>
                  </w:tcBorders>
                  <w:noWrap w:val="0"/>
                  <w:vAlign w:val="center"/>
                </w:tcPr>
                <w:p>
                  <w:pPr>
                    <w:jc w:val="center"/>
                    <w:rPr>
                      <w:rFonts w:hint="eastAsia" w:ascii="宋体" w:hAnsi="宋体" w:eastAsia="宋体" w:cs="宋体"/>
                      <w:b/>
                      <w:bCs/>
                      <w:kern w:val="0"/>
                      <w:sz w:val="24"/>
                      <w:szCs w:val="24"/>
                    </w:rPr>
                  </w:pPr>
                  <w:r>
                    <w:rPr>
                      <w:rFonts w:hint="eastAsia" w:ascii="宋体" w:hAnsi="宋体" w:eastAsia="宋体" w:cs="宋体"/>
                      <w:b/>
                      <w:bCs/>
                      <w:sz w:val="24"/>
                      <w:szCs w:val="24"/>
                      <w:vertAlign w:val="baseline"/>
                      <w:lang w:eastAsia="zh-CN"/>
                    </w:rPr>
                    <w:t>备注</w:t>
                  </w:r>
                </w:p>
              </w:tc>
            </w:tr>
            <w:tr>
              <w:tblPrEx>
                <w:tblCellMar>
                  <w:top w:w="0" w:type="dxa"/>
                  <w:left w:w="108" w:type="dxa"/>
                  <w:bottom w:w="0" w:type="dxa"/>
                  <w:right w:w="108" w:type="dxa"/>
                </w:tblCellMar>
              </w:tblPrEx>
              <w:trPr>
                <w:trHeight w:val="463" w:hRule="atLeast"/>
                <w:jc w:val="center"/>
              </w:trPr>
              <w:tc>
                <w:tcPr>
                  <w:tcW w:w="78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pPr>
                    <w:widowControl/>
                    <w:jc w:val="center"/>
                    <w:rPr>
                      <w:rFonts w:hint="eastAsia" w:ascii="宋体" w:hAnsi="宋体" w:eastAsia="宋体" w:cs="宋体"/>
                      <w:color w:val="auto"/>
                      <w:kern w:val="0"/>
                      <w:sz w:val="24"/>
                      <w:szCs w:val="24"/>
                    </w:rPr>
                  </w:pPr>
                  <w:r>
                    <w:rPr>
                      <w:rFonts w:hint="eastAsia" w:ascii="宋体" w:hAnsi="宋体" w:eastAsia="宋体" w:cs="宋体"/>
                      <w:color w:val="auto"/>
                      <w:kern w:val="0"/>
                      <w:sz w:val="24"/>
                      <w:szCs w:val="24"/>
                    </w:rPr>
                    <w:t>1</w:t>
                  </w:r>
                </w:p>
              </w:tc>
              <w:tc>
                <w:tcPr>
                  <w:tcW w:w="1977"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color w:val="auto"/>
                      <w:sz w:val="24"/>
                      <w:szCs w:val="24"/>
                    </w:rPr>
                    <w:t>乳胶漆</w:t>
                  </w:r>
                </w:p>
              </w:tc>
              <w:tc>
                <w:tcPr>
                  <w:tcW w:w="29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4"/>
                      <w:szCs w:val="24"/>
                      <w:lang w:val="en-US" w:eastAsia="zh-CN"/>
                    </w:rPr>
                  </w:pPr>
                  <w:r>
                    <w:rPr>
                      <w:rFonts w:hint="eastAsia" w:ascii="宋体" w:hAnsi="宋体" w:cs="宋体"/>
                      <w:color w:val="auto"/>
                      <w:kern w:val="0"/>
                      <w:sz w:val="24"/>
                      <w:szCs w:val="24"/>
                    </w:rPr>
                    <w:t>亚士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多乐士</w:t>
                  </w:r>
                  <w:r>
                    <w:rPr>
                      <w:rFonts w:hint="eastAsia" w:ascii="宋体" w:hAnsi="宋体" w:cs="宋体"/>
                      <w:color w:val="auto"/>
                      <w:kern w:val="0"/>
                      <w:sz w:val="24"/>
                      <w:szCs w:val="24"/>
                      <w:lang w:eastAsia="zh-CN"/>
                    </w:rPr>
                    <w:t>、</w:t>
                  </w:r>
                  <w:r>
                    <w:rPr>
                      <w:rFonts w:hint="eastAsia" w:ascii="宋体" w:hAnsi="宋体" w:cs="宋体"/>
                      <w:color w:val="auto"/>
                      <w:kern w:val="0"/>
                      <w:sz w:val="24"/>
                      <w:szCs w:val="24"/>
                    </w:rPr>
                    <w:t>立邦</w:t>
                  </w:r>
                  <w:bookmarkStart w:id="0" w:name="_GoBack"/>
                  <w:bookmarkEnd w:id="0"/>
                </w:p>
              </w:tc>
              <w:tc>
                <w:tcPr>
                  <w:tcW w:w="1443"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优等品</w:t>
                  </w:r>
                </w:p>
              </w:tc>
              <w:tc>
                <w:tcPr>
                  <w:tcW w:w="1386"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color w:val="auto"/>
                      <w:kern w:val="0"/>
                      <w:sz w:val="24"/>
                      <w:szCs w:val="24"/>
                    </w:rPr>
                  </w:pPr>
                  <w:r>
                    <w:rPr>
                      <w:rFonts w:hint="eastAsia" w:ascii="宋体" w:hAnsi="宋体" w:eastAsia="宋体" w:cs="宋体"/>
                      <w:color w:val="auto"/>
                      <w:sz w:val="24"/>
                      <w:szCs w:val="24"/>
                      <w:vertAlign w:val="baseline"/>
                      <w:lang w:eastAsia="zh-CN"/>
                    </w:rPr>
                    <w:t>或相当于</w:t>
                  </w:r>
                </w:p>
              </w:tc>
            </w:tr>
          </w:tbl>
          <w:p>
            <w:pPr>
              <w:pStyle w:val="3"/>
              <w:keepNext w:val="0"/>
              <w:keepLines w:val="0"/>
              <w:pageBreakBefore w:val="0"/>
              <w:widowControl w:val="0"/>
              <w:kinsoku/>
              <w:wordWrap/>
              <w:overflowPunct/>
              <w:topLinePunct w:val="0"/>
              <w:bidi w:val="0"/>
              <w:adjustRightInd/>
              <w:snapToGrid/>
              <w:spacing w:line="360" w:lineRule="auto"/>
              <w:jc w:val="both"/>
              <w:textAlignment w:val="auto"/>
              <w:rPr>
                <w:rFonts w:ascii="宋体" w:hAnsi="宋体" w:cs="宋体"/>
                <w:color w:val="000000"/>
                <w:szCs w:val="21"/>
              </w:rPr>
            </w:pPr>
            <w:r>
              <w:rPr>
                <w:rFonts w:hint="eastAsia" w:ascii="宋体" w:hAnsi="宋体" w:eastAsia="宋体" w:cs="宋体"/>
                <w:kern w:val="1"/>
                <w:sz w:val="24"/>
                <w:szCs w:val="24"/>
              </w:rPr>
              <w:t>注意：涂料</w:t>
            </w:r>
            <w:r>
              <w:rPr>
                <w:rFonts w:hint="eastAsia" w:ascii="宋体" w:hAnsi="宋体" w:eastAsia="宋体" w:cs="宋体"/>
                <w:kern w:val="1"/>
                <w:sz w:val="24"/>
                <w:szCs w:val="24"/>
                <w:lang w:eastAsia="zh-CN"/>
              </w:rPr>
              <w:t>、油漆</w:t>
            </w:r>
            <w:r>
              <w:rPr>
                <w:rFonts w:hint="eastAsia" w:ascii="宋体" w:hAnsi="宋体" w:eastAsia="宋体" w:cs="宋体"/>
                <w:kern w:val="1"/>
                <w:sz w:val="24"/>
                <w:szCs w:val="24"/>
              </w:rPr>
              <w:t>要达到环保E</w:t>
            </w:r>
            <w:r>
              <w:rPr>
                <w:rFonts w:hint="eastAsia" w:ascii="宋体" w:hAnsi="宋体" w:eastAsia="宋体" w:cs="宋体"/>
                <w:kern w:val="1"/>
                <w:sz w:val="24"/>
                <w:szCs w:val="24"/>
                <w:lang w:val="en-US" w:eastAsia="zh-CN"/>
              </w:rPr>
              <w:t>1</w:t>
            </w:r>
            <w:r>
              <w:rPr>
                <w:rFonts w:hint="eastAsia" w:ascii="宋体" w:hAnsi="宋体" w:eastAsia="宋体" w:cs="宋体"/>
                <w:kern w:val="1"/>
                <w:sz w:val="24"/>
                <w:szCs w:val="24"/>
              </w:rPr>
              <w:t>级标准。</w:t>
            </w:r>
          </w:p>
        </w:tc>
      </w:tr>
    </w:tbl>
    <w:p>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rPr>
    </w:pPr>
    <w:r>
      <mc:AlternateContent>
        <mc:Choice Requires="wps">
          <w:drawing>
            <wp:anchor distT="45720" distB="45720" distL="114300" distR="114300" simplePos="0" relativeHeight="251659264" behindDoc="0" locked="0" layoutInCell="1" allowOverlap="1">
              <wp:simplePos x="0" y="0"/>
              <wp:positionH relativeFrom="column">
                <wp:posOffset>-181610</wp:posOffset>
              </wp:positionH>
              <wp:positionV relativeFrom="paragraph">
                <wp:posOffset>212090</wp:posOffset>
              </wp:positionV>
              <wp:extent cx="5629910" cy="637540"/>
              <wp:effectExtent l="4445" t="5080" r="23495" b="5080"/>
              <wp:wrapSquare wrapText="bothSides"/>
              <wp:docPr id="1" name="文本框 2"/>
              <wp:cNvGraphicFramePr/>
              <a:graphic xmlns:a="http://schemas.openxmlformats.org/drawingml/2006/main">
                <a:graphicData uri="http://schemas.microsoft.com/office/word/2010/wordprocessingShape">
                  <wps:wsp>
                    <wps:cNvSpPr txBox="1"/>
                    <wps:spPr>
                      <a:xfrm>
                        <a:off x="0" y="0"/>
                        <a:ext cx="5629910" cy="637540"/>
                      </a:xfrm>
                      <a:prstGeom prst="rect">
                        <a:avLst/>
                      </a:prstGeom>
                      <a:solidFill>
                        <a:srgbClr val="FFFFFF"/>
                      </a:solidFill>
                      <a:ln w="9525" cap="flat" cmpd="sng">
                        <a:solidFill>
                          <a:srgbClr val="FFFFFF"/>
                        </a:solidFill>
                        <a:prstDash val="solid"/>
                        <a:miter/>
                        <a:headEnd type="none" w="med" len="med"/>
                        <a:tailEnd type="none" w="med" len="med"/>
                      </a:ln>
                    </wps:spPr>
                    <wps:txb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杭州电子科技大学2教、6教、8教、综合楼、学活中心外墙整修工程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wps:txbx>
                    <wps:bodyPr vert="horz" anchor="t" upright="1"/>
                  </wps:wsp>
                </a:graphicData>
              </a:graphic>
            </wp:anchor>
          </w:drawing>
        </mc:Choice>
        <mc:Fallback>
          <w:pict>
            <v:shape id="文本框 2" o:spid="_x0000_s1026" o:spt="202" type="#_x0000_t202" style="position:absolute;left:0pt;margin-left:-14.3pt;margin-top:16.7pt;height:50.2pt;width:443.3pt;mso-wrap-distance-bottom:3.6pt;mso-wrap-distance-left:9pt;mso-wrap-distance-right:9pt;mso-wrap-distance-top:3.6pt;z-index:251659264;mso-width-relative:page;mso-height-relative:page;" fillcolor="#FFFFFF" filled="t" stroked="t" coordsize="21600,21600" o:gfxdata="UEsDBAoAAAAAAIdO4kAAAAAAAAAAAAAAAAAEAAAAZHJzL1BLAwQUAAAACACHTuJABwD/R9gAAAAK&#10;AQAADwAAAGRycy9kb3ducmV2LnhtbE2PwU7DMBBE70j8g7WVuKDWaQKVFeJUqAJxbsuFmxtvk6jx&#10;OondpuXrWU5wXO3TzJtifXWduOAYWk8alosEBFLlbUu1hs/9+1yBCNGQNZ0n1HDDAOvy/q4wufUT&#10;bfGyi7XgEAq50dDE2OdShqpBZ8LC90j8O/rRmcjnWEs7monDXSfTJFlJZ1rihsb0uGmwOu3OToOf&#10;3m7O45Ckj1/f7mPzOmyP6aD1w2yZvICIeI1/MPzqszqU7HTwZ7JBdBrmqVoxqiHLnkAwoJ4Vjzsw&#10;mWUKZFnI/xPKH1BLAwQUAAAACACHTuJAFrzDsxcCAABNBAAADgAAAGRycy9lMm9Eb2MueG1srVRN&#10;rtMwEN4jcQfLe5q20EKjpk+CUjYIkB4cwHWcxJL/ZLttygHgBqzYsH/n6jn47JQ+3mPTBVkkY8/4&#10;m/m+GWd502tF9sIHaU1FJ6MxJcJwW0vTVvTL582zV5SEyEzNlDWiokcR6M3q6ZPlwZViajurauEJ&#10;QEwoD66iXYyuLIrAO6FZGFknDJyN9ZpFLH1b1J4dgK5VMR2P58XB+tp5y0UI2F0PTnpG9NcA2qaR&#10;XKwt32lh4oDqhWIRlEInXaCrXG3TCB4/Nk0QkaiKgmnMbySBvU3vYrVkZeuZ6yQ/l8CuKeERJ82k&#10;QdIL1JpFRnZe/gOlJfc22CaOuNXFQCQrAhaT8SNtbjvmROYCqYO7iB7+Hyz/sP/kiawxCZQYptHw&#10;04/vp593p1/fyDTJc3ChRNStQ1zsX9s+hZ73AzYT677xOn3Bh8APcY8XcUUfCcfmbD5dLCZwcfjm&#10;z1/OXmT1i/vTzof4TlhNklFRj+ZlTdn+fYjIiNA/ISlZsErWG6lUXvh2+0Z5smdo9CY/qUgceRCm&#10;DDlUdDGbzlAHw/Q2mBqY2kGBYNqc78GJcB1wKmzNQjcUkBGG2dIyCo9KWNkJVr81NYlHB5UNLhdN&#10;xWhRU6IE7mKycmRkUl0TCXbKgGRq0dCKZMV+2wMmmVtbH9E23Hbo2Vn/lRJmOIyKgvXOedl28OR+&#10;ZhRMWRbtfCPSGP+9zrnu/wKr3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AcA/0fYAAAACgEAAA8A&#10;AAAAAAAAAQAgAAAAIgAAAGRycy9kb3ducmV2LnhtbFBLAQIUABQAAAAIAIdO4kAWvMOzFwIAAE0E&#10;AAAOAAAAAAAAAAEAIAAAACcBAABkcnMvZTJvRG9jLnhtbFBLBQYAAAAABgAGAFkBAACwBQAAAAA=&#10;">
              <v:fill on="t" focussize="0,0"/>
              <v:stroke color="#FFFFFF" joinstyle="miter"/>
              <v:imagedata o:title=""/>
              <o:lock v:ext="edit" aspectratio="f"/>
              <v:textbox>
                <w:txbxContent>
                  <w:p>
                    <w:pPr>
                      <w:pStyle w:val="3"/>
                      <w:tabs>
                        <w:tab w:val="left" w:pos="0"/>
                      </w:tabs>
                      <w:jc w:val="center"/>
                      <w:rPr>
                        <w:b/>
                        <w:sz w:val="48"/>
                        <w:szCs w:val="48"/>
                      </w:rPr>
                    </w:pPr>
                    <w:r>
                      <w:rPr>
                        <w:rFonts w:hint="eastAsia"/>
                        <w:b/>
                        <w:sz w:val="48"/>
                        <w:szCs w:val="48"/>
                      </w:rPr>
                      <w:t>工程量清单编制总说明</w:t>
                    </w:r>
                  </w:p>
                  <w:p>
                    <w:pPr>
                      <w:jc w:val="left"/>
                      <w:rPr>
                        <w:rFonts w:asciiTheme="minorEastAsia" w:hAnsiTheme="minorEastAsia" w:eastAsiaTheme="minorEastAsia" w:cstheme="minorEastAsia"/>
                        <w:sz w:val="18"/>
                        <w:szCs w:val="18"/>
                      </w:rPr>
                    </w:pPr>
                    <w:r>
                      <w:rPr>
                        <w:rFonts w:hint="eastAsia" w:ascii="宋体" w:hAnsi="宋体" w:eastAsia="宋体" w:cs="宋体"/>
                        <w:sz w:val="21"/>
                        <w:szCs w:val="21"/>
                      </w:rPr>
                      <w:t xml:space="preserve">工程名称: </w:t>
                    </w:r>
                    <w:r>
                      <w:rPr>
                        <w:rFonts w:hint="eastAsia" w:ascii="宋体" w:hAnsi="宋体" w:cs="宋体"/>
                        <w:color w:val="auto"/>
                        <w:sz w:val="18"/>
                        <w:szCs w:val="18"/>
                        <w:highlight w:val="none"/>
                        <w:lang w:eastAsia="zh-CN"/>
                      </w:rPr>
                      <w:t>杭州电子科技大学2教、6教、8教、综合楼、学活中心外墙整修工程</w:t>
                    </w:r>
                    <w:r>
                      <w:rPr>
                        <w:rFonts w:hint="eastAsia" w:ascii="宋体" w:hAnsi="宋体" w:cs="宋体"/>
                        <w:color w:val="auto"/>
                        <w:sz w:val="18"/>
                        <w:szCs w:val="18"/>
                        <w:highlight w:val="none"/>
                        <w:lang w:val="en-US" w:eastAsia="zh-CN"/>
                      </w:rPr>
                      <w:t xml:space="preserve">       </w:t>
                    </w:r>
                    <w:r>
                      <w:rPr>
                        <w:rFonts w:hint="eastAsia" w:asciiTheme="minorEastAsia" w:hAnsiTheme="minorEastAsia" w:eastAsiaTheme="minorEastAsia" w:cstheme="minorEastAsia"/>
                        <w:sz w:val="18"/>
                        <w:szCs w:val="18"/>
                      </w:rPr>
                      <w:t>第</w:t>
                    </w:r>
                    <w:r>
                      <w:rPr>
                        <w:rFonts w:hint="eastAsia" w:asciiTheme="minorEastAsia" w:hAnsiTheme="minorEastAsia" w:eastAsiaTheme="minorEastAsia" w:cstheme="minorEastAsia"/>
                        <w:sz w:val="18"/>
                        <w:szCs w:val="18"/>
                      </w:rPr>
                      <w:fldChar w:fldCharType="begin"/>
                    </w:r>
                    <w:r>
                      <w:rPr>
                        <w:rFonts w:hint="eastAsia" w:asciiTheme="minorEastAsia" w:hAnsiTheme="minorEastAsia" w:eastAsiaTheme="minorEastAsia" w:cstheme="minorEastAsia"/>
                        <w:sz w:val="18"/>
                        <w:szCs w:val="18"/>
                      </w:rPr>
                      <w:instrText xml:space="preserve">PAGE  \* Arabic  \* MERGEFORMAT</w:instrText>
                    </w:r>
                    <w:r>
                      <w:rPr>
                        <w:rFonts w:hint="eastAsia" w:asciiTheme="minorEastAsia" w:hAnsiTheme="minorEastAsia" w:eastAsiaTheme="minorEastAsia" w:cstheme="minorEastAsia"/>
                        <w:sz w:val="18"/>
                        <w:szCs w:val="18"/>
                      </w:rPr>
                      <w:fldChar w:fldCharType="separate"/>
                    </w:r>
                    <w:r>
                      <w:rPr>
                        <w:rFonts w:asciiTheme="minorEastAsia" w:hAnsiTheme="minorEastAsia" w:eastAsiaTheme="minorEastAsia" w:cstheme="minorEastAsia"/>
                        <w:sz w:val="18"/>
                        <w:szCs w:val="18"/>
                      </w:rPr>
                      <w:t>1</w:t>
                    </w:r>
                    <w:r>
                      <w:rPr>
                        <w:rFonts w:hint="eastAsia" w:asciiTheme="minorEastAsia" w:hAnsiTheme="minorEastAsia" w:eastAsiaTheme="minorEastAsia" w:cstheme="minorEastAsia"/>
                        <w:sz w:val="18"/>
                        <w:szCs w:val="18"/>
                      </w:rPr>
                      <w:fldChar w:fldCharType="end"/>
                    </w:r>
                    <w:r>
                      <w:rPr>
                        <w:rFonts w:hint="eastAsia" w:asciiTheme="minorEastAsia" w:hAnsiTheme="minorEastAsia" w:eastAsiaTheme="minorEastAsia" w:cstheme="minorEastAsia"/>
                        <w:sz w:val="18"/>
                        <w:szCs w:val="18"/>
                      </w:rPr>
                      <w:t>页，共</w:t>
                    </w:r>
                    <w:r>
                      <w:rPr>
                        <w:rFonts w:hint="eastAsia" w:asciiTheme="minorEastAsia" w:hAnsiTheme="minorEastAsia" w:eastAsiaTheme="minorEastAsia" w:cstheme="minorEastAsia"/>
                        <w:sz w:val="18"/>
                        <w:szCs w:val="18"/>
                        <w:lang w:val="en-US" w:eastAsia="zh-CN"/>
                      </w:rPr>
                      <w:t>3页</w:t>
                    </w:r>
                  </w:p>
                  <w:p/>
                </w:txbxContent>
              </v:textbox>
              <w10:wrap type="squar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iYmQzZWUyY2EzNzMwYTU2NjliODNiOWVlYzYyNjQ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150E8"/>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E82"/>
    <w:rsid w:val="00D526A6"/>
    <w:rsid w:val="00D526BD"/>
    <w:rsid w:val="00D55216"/>
    <w:rsid w:val="00D574EE"/>
    <w:rsid w:val="00D602E0"/>
    <w:rsid w:val="00D60AF4"/>
    <w:rsid w:val="00D61E53"/>
    <w:rsid w:val="00D75207"/>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2436C14"/>
    <w:rsid w:val="03366EA6"/>
    <w:rsid w:val="0E613268"/>
    <w:rsid w:val="0F090DE9"/>
    <w:rsid w:val="0FE7115A"/>
    <w:rsid w:val="12BF28AB"/>
    <w:rsid w:val="13347445"/>
    <w:rsid w:val="158F443B"/>
    <w:rsid w:val="17A4103D"/>
    <w:rsid w:val="17B943BD"/>
    <w:rsid w:val="18E13BCB"/>
    <w:rsid w:val="1AEE7B63"/>
    <w:rsid w:val="1B617245"/>
    <w:rsid w:val="1B6503C5"/>
    <w:rsid w:val="1B6E25C4"/>
    <w:rsid w:val="1CA97C35"/>
    <w:rsid w:val="1D641E26"/>
    <w:rsid w:val="1E320A25"/>
    <w:rsid w:val="1F046C73"/>
    <w:rsid w:val="1FB44D03"/>
    <w:rsid w:val="1FD04999"/>
    <w:rsid w:val="227B58D9"/>
    <w:rsid w:val="246C2EE2"/>
    <w:rsid w:val="24AB704C"/>
    <w:rsid w:val="25537BFE"/>
    <w:rsid w:val="2583364F"/>
    <w:rsid w:val="27160108"/>
    <w:rsid w:val="28136AE6"/>
    <w:rsid w:val="2AFC6642"/>
    <w:rsid w:val="2B8D57C9"/>
    <w:rsid w:val="2C183950"/>
    <w:rsid w:val="2C706577"/>
    <w:rsid w:val="2E6115DE"/>
    <w:rsid w:val="2EE638B2"/>
    <w:rsid w:val="2FFC01A5"/>
    <w:rsid w:val="32421F05"/>
    <w:rsid w:val="3251196A"/>
    <w:rsid w:val="326D515A"/>
    <w:rsid w:val="32D541E9"/>
    <w:rsid w:val="344572AC"/>
    <w:rsid w:val="367A2E09"/>
    <w:rsid w:val="37A06BBE"/>
    <w:rsid w:val="3B464036"/>
    <w:rsid w:val="4033368A"/>
    <w:rsid w:val="40CB28E7"/>
    <w:rsid w:val="43A03C3B"/>
    <w:rsid w:val="43C024AB"/>
    <w:rsid w:val="453B44DF"/>
    <w:rsid w:val="45C87AA1"/>
    <w:rsid w:val="4698326B"/>
    <w:rsid w:val="46D7097B"/>
    <w:rsid w:val="497242D2"/>
    <w:rsid w:val="49951CE4"/>
    <w:rsid w:val="49A41BDF"/>
    <w:rsid w:val="4A3E656D"/>
    <w:rsid w:val="4A3F4DA2"/>
    <w:rsid w:val="4A62606A"/>
    <w:rsid w:val="4A652AEB"/>
    <w:rsid w:val="4B90280D"/>
    <w:rsid w:val="4C1C277B"/>
    <w:rsid w:val="4CEB0070"/>
    <w:rsid w:val="4E110852"/>
    <w:rsid w:val="50B60EBE"/>
    <w:rsid w:val="526B2003"/>
    <w:rsid w:val="53973ACB"/>
    <w:rsid w:val="54016821"/>
    <w:rsid w:val="56C63E25"/>
    <w:rsid w:val="57255D0E"/>
    <w:rsid w:val="585821BA"/>
    <w:rsid w:val="587766E0"/>
    <w:rsid w:val="588C69A8"/>
    <w:rsid w:val="591F3539"/>
    <w:rsid w:val="5989518F"/>
    <w:rsid w:val="5C5F065B"/>
    <w:rsid w:val="5CE9261B"/>
    <w:rsid w:val="5F681F1D"/>
    <w:rsid w:val="5FDE3F8D"/>
    <w:rsid w:val="644A7BC0"/>
    <w:rsid w:val="65614110"/>
    <w:rsid w:val="6563635E"/>
    <w:rsid w:val="67F26C0E"/>
    <w:rsid w:val="68352A03"/>
    <w:rsid w:val="6B1D0764"/>
    <w:rsid w:val="6C264CF2"/>
    <w:rsid w:val="6D07065E"/>
    <w:rsid w:val="6F07626B"/>
    <w:rsid w:val="717F3467"/>
    <w:rsid w:val="722577FA"/>
    <w:rsid w:val="72435ED2"/>
    <w:rsid w:val="730C00E3"/>
    <w:rsid w:val="73621405"/>
    <w:rsid w:val="74890514"/>
    <w:rsid w:val="74B2104F"/>
    <w:rsid w:val="756248C1"/>
    <w:rsid w:val="76740D50"/>
    <w:rsid w:val="77122EE5"/>
    <w:rsid w:val="773744A0"/>
    <w:rsid w:val="794A4EA4"/>
    <w:rsid w:val="7B013861"/>
    <w:rsid w:val="7BE44282"/>
    <w:rsid w:val="7C4C2CAE"/>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qFormat/>
    <w:uiPriority w:val="39"/>
    <w:pPr>
      <w:spacing w:before="120" w:after="120"/>
      <w:jc w:val="left"/>
    </w:pPr>
    <w:rPr>
      <w:rFonts w:ascii="Calibri" w:hAnsi="Calibri"/>
      <w:b/>
      <w:bCs/>
      <w:caps/>
      <w:sz w:val="20"/>
    </w:rPr>
  </w:style>
  <w:style w:type="paragraph" w:styleId="3">
    <w:name w:val="Plain Text"/>
    <w:basedOn w:val="1"/>
    <w:link w:val="15"/>
    <w:qFormat/>
    <w:uiPriority w:val="0"/>
    <w:rPr>
      <w:rFonts w:ascii="宋体" w:hAnsi="Courier New" w:cs="Courier New"/>
      <w:szCs w:val="21"/>
    </w:r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paragraph" w:customStyle="1" w:styleId="11">
    <w:name w:val="Char"/>
    <w:basedOn w:val="1"/>
    <w:qFormat/>
    <w:uiPriority w:val="0"/>
    <w:rPr>
      <w:rFonts w:ascii="仿宋_GB2312" w:eastAsia="仿宋_GB2312"/>
      <w:b/>
      <w:sz w:val="32"/>
      <w:szCs w:val="32"/>
    </w:rPr>
  </w:style>
  <w:style w:type="paragraph" w:customStyle="1" w:styleId="12">
    <w:name w:val="_Style 10"/>
    <w:basedOn w:val="1"/>
    <w:qFormat/>
    <w:uiPriority w:val="0"/>
    <w:pPr>
      <w:ind w:firstLine="480"/>
    </w:pPr>
  </w:style>
  <w:style w:type="character" w:customStyle="1" w:styleId="13">
    <w:name w:val="页眉 字符"/>
    <w:basedOn w:val="9"/>
    <w:link w:val="6"/>
    <w:qFormat/>
    <w:uiPriority w:val="0"/>
    <w:rPr>
      <w:kern w:val="2"/>
      <w:sz w:val="18"/>
      <w:szCs w:val="18"/>
    </w:rPr>
  </w:style>
  <w:style w:type="character" w:customStyle="1" w:styleId="14">
    <w:name w:val="页脚 字符"/>
    <w:basedOn w:val="9"/>
    <w:link w:val="5"/>
    <w:qFormat/>
    <w:uiPriority w:val="0"/>
    <w:rPr>
      <w:kern w:val="2"/>
      <w:sz w:val="18"/>
      <w:szCs w:val="18"/>
    </w:rPr>
  </w:style>
  <w:style w:type="character" w:customStyle="1" w:styleId="15">
    <w:name w:val="纯文本 字符"/>
    <w:basedOn w:val="9"/>
    <w:link w:val="3"/>
    <w:qFormat/>
    <w:uiPriority w:val="0"/>
    <w:rPr>
      <w:rFonts w:ascii="宋体" w:hAnsi="Courier New" w:cs="Courier New"/>
      <w:kern w:val="2"/>
      <w:sz w:val="21"/>
      <w:szCs w:val="21"/>
    </w:rPr>
  </w:style>
  <w:style w:type="paragraph" w:styleId="16">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A9FC922-2DE9-4D63-812D-0728796363F6}">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3</Pages>
  <Words>2349</Words>
  <Characters>2524</Characters>
  <Lines>13</Lines>
  <Paragraphs>3</Paragraphs>
  <TotalTime>0</TotalTime>
  <ScaleCrop>false</ScaleCrop>
  <LinksUpToDate>false</LinksUpToDate>
  <CharactersWithSpaces>2532</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聪</cp:lastModifiedBy>
  <cp:lastPrinted>2021-03-25T11:59:00Z</cp:lastPrinted>
  <dcterms:modified xsi:type="dcterms:W3CDTF">2023-06-02T01:22:28Z</dcterms:modified>
  <dc:title>编制总说明</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CC07AE87BEEE4EF0BA3A4B2C2397955B</vt:lpwstr>
  </property>
</Properties>
</file>